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ДОГОВОР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по приему вторичного сырья (публичная оферта)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  <w:t xml:space="preserve">г. </w:t>
      </w:r>
      <w:r>
        <w:rPr>
          <w:b/>
        </w:rPr>
        <w:t xml:space="preserve">С</w:t>
      </w:r>
      <w:r>
        <w:rPr>
          <w:b/>
        </w:rPr>
        <w:t xml:space="preserve">анкт-Петербург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 xml:space="preserve">             </w:t>
      </w:r>
      <w:r>
        <w:rPr>
          <w:b/>
        </w:rPr>
        <w:t xml:space="preserve">   </w:t>
      </w:r>
      <w:r>
        <w:rPr>
          <w:b/>
        </w:rPr>
        <w:t xml:space="preserve">               </w:t>
      </w:r>
      <w:r>
        <w:rPr>
          <w:b/>
        </w:rPr>
        <w:t xml:space="preserve">          «20</w:t>
      </w:r>
      <w:r>
        <w:rPr>
          <w:b/>
        </w:rPr>
        <w:t xml:space="preserve">» </w:t>
      </w:r>
      <w:r>
        <w:rPr>
          <w:b/>
        </w:rPr>
        <w:t xml:space="preserve">мая</w:t>
      </w:r>
      <w:r>
        <w:rPr>
          <w:b/>
        </w:rPr>
        <w:t xml:space="preserve"> </w:t>
      </w:r>
      <w:r>
        <w:rPr>
          <w:b/>
        </w:rPr>
        <w:t xml:space="preserve">202</w:t>
      </w:r>
      <w:r>
        <w:rPr>
          <w:b/>
        </w:rPr>
        <w:t xml:space="preserve">4</w:t>
      </w:r>
      <w:r>
        <w:rPr>
          <w:b/>
        </w:rPr>
        <w:t xml:space="preserve"> г.</w:t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</w:pPr>
      <w:r>
        <w:t xml:space="preserve">Настоящая оферта представляет собой официальное предложение </w:t>
      </w:r>
      <w:bookmarkStart w:id="0" w:name="_Hlk106711758"/>
      <w:r>
        <w:rPr>
          <w:b/>
        </w:rPr>
        <w:t xml:space="preserve">Индивидуального предпринимателя </w:t>
      </w:r>
      <w:r>
        <w:rPr>
          <w:b/>
        </w:rPr>
        <w:t xml:space="preserve">Шелягин</w:t>
      </w:r>
      <w:r>
        <w:rPr>
          <w:b/>
        </w:rPr>
        <w:t xml:space="preserve">а</w:t>
      </w:r>
      <w:r>
        <w:rPr>
          <w:b/>
        </w:rPr>
        <w:t xml:space="preserve"> Васили</w:t>
      </w:r>
      <w:r>
        <w:rPr>
          <w:b/>
        </w:rPr>
        <w:t xml:space="preserve">я</w:t>
      </w:r>
      <w:r>
        <w:rPr>
          <w:b/>
        </w:rPr>
        <w:t xml:space="preserve"> Михайлови</w:t>
      </w:r>
      <w:r>
        <w:rPr>
          <w:b/>
        </w:rPr>
        <w:t xml:space="preserve">ча</w:t>
      </w:r>
      <w:r>
        <w:t xml:space="preserve">, ОГРНИП </w:t>
      </w:r>
      <w:r>
        <w:t xml:space="preserve">323470400132534</w:t>
      </w:r>
      <w:r>
        <w:t xml:space="preserve">, ИНН </w:t>
      </w:r>
      <w:bookmarkEnd w:id="0"/>
      <w:r>
        <w:t xml:space="preserve">662340211649</w:t>
      </w:r>
      <w:r>
        <w:t xml:space="preserve">, далее именуем</w:t>
      </w:r>
      <w:r>
        <w:t xml:space="preserve">ый</w:t>
      </w:r>
      <w:r>
        <w:t xml:space="preserve"> «Приемщик», адресованное неопределенному кругу лиц, заключить договор на оказание услуг на нижеследующих условиях:</w:t>
      </w:r>
      <w:r/>
    </w:p>
    <w:p>
      <w:pPr>
        <w:jc w:val="both"/>
      </w:pPr>
      <w:r/>
      <w:r/>
    </w:p>
    <w:p>
      <w:pPr>
        <w:pStyle w:val="868"/>
        <w:numPr>
          <w:ilvl w:val="0"/>
          <w:numId w:val="1"/>
        </w:num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ТЕРМИНЫ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6"/>
        <w:numPr>
          <w:ilvl w:val="1"/>
          <w:numId w:val="1"/>
        </w:numPr>
        <w:ind w:left="0" w:firstLine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целях единого толкования и понимания, нижеприведенные термины используются в следующем значении:</w:t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Публичная оферта (далее – оферта) </w:t>
      </w:r>
      <w:r>
        <w:rPr>
          <w:rFonts w:ascii="Times New Roman" w:hAnsi="Times New Roman"/>
          <w:sz w:val="24"/>
          <w:szCs w:val="24"/>
        </w:rPr>
        <w:t xml:space="preserve">– предложение Приемщика, адресованное Заказчику (физическому лицу, юридическому лицу или индивидуальному предпринимателю), заключить договор по приему вторичного сырья на условиях, содержащихся в настоящей публичной оферте.</w:t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Акцепт публичной оферты (далее – акцепт, акцепт оферты)</w:t>
      </w:r>
      <w:r>
        <w:rPr>
          <w:rFonts w:ascii="Times New Roman" w:hAnsi="Times New Roman"/>
          <w:sz w:val="24"/>
          <w:szCs w:val="24"/>
        </w:rPr>
        <w:t xml:space="preserve"> – полное и безо</w:t>
      </w:r>
      <w:r>
        <w:rPr>
          <w:rFonts w:ascii="Times New Roman" w:hAnsi="Times New Roman"/>
          <w:sz w:val="24"/>
          <w:szCs w:val="24"/>
        </w:rPr>
        <w:t xml:space="preserve">говорочное принятие Заказчиком условий настоящей публичной оферты путем совершения действий, указанных в разделе 2 публичной оферты. Акцепт оферты создает договор и признается заключенным.  Договор (далее Договор или Оферта) – возмездное соглашение между П</w:t>
      </w:r>
      <w:bookmarkStart w:id="1" w:name="_GoBack"/>
      <w:r/>
      <w:bookmarkEnd w:id="1"/>
      <w:r>
        <w:rPr>
          <w:rFonts w:ascii="Times New Roman" w:hAnsi="Times New Roman"/>
          <w:sz w:val="24"/>
          <w:szCs w:val="24"/>
        </w:rPr>
        <w:t xml:space="preserve">риемщиком и Заказчиком на оказание услуг, заключенное посредством акцепта публичной оферты.</w:t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Приемщик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Шелягин Василий Михайлович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ОГРНИП 323470400132534, ИНН 662340211649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– Физическое лицо, юридическое лицо или индивидуальный предприниматель, имеющее намерение сдать вторичное сырье (макулатуру, поли</w:t>
      </w:r>
      <w:r>
        <w:rPr>
          <w:rFonts w:ascii="Times New Roman" w:hAnsi="Times New Roman"/>
          <w:sz w:val="24"/>
          <w:szCs w:val="24"/>
        </w:rPr>
        <w:t xml:space="preserve">этилен и пр.), принадлежащее на праве собственности и не обремененное правами 3-их лиц, направившее Приемщику заявку на сдачу вторичного сырья, признается Заказчиком, заключившим с Приемщиком договор на условиях, содержащихся в настоящей публичной оферте. </w:t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Стороны</w:t>
      </w:r>
      <w:r>
        <w:rPr>
          <w:rFonts w:ascii="Times New Roman" w:hAnsi="Times New Roman"/>
          <w:sz w:val="24"/>
          <w:szCs w:val="24"/>
        </w:rPr>
        <w:t xml:space="preserve"> – Заказчик и Приемщик, именуемые в дальнейшем при совместном упоминании. 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</w:pPr>
      <w:r/>
      <w:r/>
    </w:p>
    <w:p>
      <w:pPr>
        <w:pStyle w:val="868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ОФЕРТЫ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8"/>
        <w:numPr>
          <w:ilvl w:val="1"/>
          <w:numId w:val="1"/>
        </w:numPr>
        <w:ind w:left="-142" w:firstLine="1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настоящему договору Приемщик обязуется организовать и осуществить приём, обработку и дальнейшую передачу на утилизацию отходов производства и потребления вторичное сырь</w:t>
      </w:r>
      <w:r>
        <w:rPr>
          <w:rFonts w:ascii="Times New Roman" w:hAnsi="Times New Roman"/>
          <w:sz w:val="24"/>
          <w:szCs w:val="24"/>
        </w:rPr>
        <w:t xml:space="preserve">е (макулатура, полиэтилен и пр.), в объеме, месте и сроки, в соответствии с Заявкой Заказчика, а также оплатить переданное вторичное сырье Заказчику по цене, установленной на день приемки вторичного сырья и указанной в прайсе на сайте Приемщика по адресу: </w:t>
      </w:r>
      <w:hyperlink r:id="rId9" w:tooltip="https://78.vtorproekt.com/" w:history="1">
        <w:r>
          <w:rPr>
            <w:rStyle w:val="869"/>
          </w:rPr>
          <w:t xml:space="preserve">https://78.vtorproekt.com/</w:t>
        </w:r>
      </w:hyperlink>
      <w: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ilvl w:val="1"/>
          <w:numId w:val="1"/>
        </w:numPr>
        <w:ind w:left="-142" w:firstLine="1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Конкретный перечень и объем принимаемого вторичного сырья, определяется Заявкой, поступающ</w:t>
      </w:r>
      <w:r>
        <w:rPr>
          <w:rFonts w:ascii="Times New Roman" w:hAnsi="Times New Roman"/>
          <w:sz w:val="24"/>
          <w:szCs w:val="24"/>
        </w:rPr>
        <w:t xml:space="preserve">ей от Заказчика в свободной форме, и содержащей наименование сырья, его количество. Заявка может быть передана факсимильной связью, по телефону Приемщика, через мобильное приложение Вторпроект, а также путем заполнения заявки на сайте Приемщика по адресу: </w:t>
      </w:r>
      <w:hyperlink r:id="rId10" w:tooltip="https://78.vtorproekt.com/" w:history="1">
        <w:r>
          <w:rPr>
            <w:rStyle w:val="869"/>
          </w:rPr>
          <w:t xml:space="preserve">https://78.vtorproekt.com/</w:t>
        </w:r>
      </w:hyperlink>
      <w:r>
        <w:rPr>
          <w:rStyle w:val="869"/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ilvl w:val="1"/>
          <w:numId w:val="1"/>
        </w:numPr>
        <w:ind w:left="-142" w:firstLine="1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Вторичное сырье, подлежащее дальнейшей переработке не должно содержать примесей пищевых и бытовых отходов, нефтепродуктов и других включений.</w:t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ilvl w:val="1"/>
          <w:numId w:val="1"/>
        </w:numPr>
        <w:ind w:left="-142" w:firstLine="1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Вторичное сырье должно быть упаковано надлежащим образом, обеспечивающим его сохранность при перевозке.</w:t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ilvl w:val="1"/>
          <w:numId w:val="1"/>
        </w:numPr>
        <w:contextualSpacing w:val="0"/>
        <w:ind w:left="0" w:firstLine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подтверждает, что передаваемое Приемщику сырье на момент заключения настоящего договора принадлежит Заказчику на праве собственности, не заложено, не находится под арестом и не является предметом исков третьих лиц.</w:t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0" w:firstLine="36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tabs>
          <w:tab w:val="left" w:pos="0" w:leader="none"/>
        </w:tabs>
        <w:rPr>
          <w:rFonts w:eastAsia="Calibri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b/>
          <w:color w:val="000000"/>
        </w:rPr>
        <w:t xml:space="preserve">3. УСЛОВИЯ ОКАЗАНИЯ УСЛУГ</w:t>
      </w:r>
      <w:r>
        <w:rPr>
          <w:rFonts w:eastAsia="Calibri"/>
          <w:b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3.1. </w:t>
      </w:r>
      <w:r>
        <w:t xml:space="preserve">Приёмка вторичного сырья производится на складе (тарном месте) Приемщика и оформляется закупочным актом (Приложение № 1)</w:t>
      </w:r>
      <w:r>
        <w:rPr>
          <w:rFonts w:eastAsia="Calibri"/>
        </w:rPr>
        <w:t xml:space="preserve">. Оформление документов при сдаче сырья осуществляется </w:t>
      </w:r>
      <w:r>
        <w:t xml:space="preserve">с участием представителей обеих сторон.</w:t>
      </w:r>
      <w:r>
        <w:rPr>
          <w:rFonts w:eastAsia="Calibri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3.2. Взвешивание и определение количества вторичного сырья производится на весах Приемщика.</w:t>
      </w:r>
      <w:r>
        <w:rPr>
          <w:rFonts w:eastAsia="Calibri"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3.3</w:t>
      </w:r>
      <w:r>
        <w:rPr>
          <w:rFonts w:eastAsia="Calibri"/>
        </w:rPr>
        <w:t xml:space="preserve">. Если Заказчик - юридическое лицо или индивидуальный предприниматель, то последние на основании переданного Приемщиком закупочного акта оформляют - счет на оплату, товарную накладную и счет-фактуру (либо УПД) </w:t>
      </w:r>
      <w:r>
        <w:rPr>
          <w:rFonts w:eastAsia="Calibri"/>
          <w:color w:val="000000"/>
        </w:rPr>
        <w:t xml:space="preserve">и передает документы Приемщику в течение 2-х рабочих дней с даты получения закупочного акта с принятым количеством вторичного сырья.</w:t>
      </w:r>
      <w:r>
        <w:rPr>
          <w:rFonts w:eastAsia="Calibri"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3.4. Если иное не согласовано в Заявке, доставка вторичного сырья </w:t>
      </w:r>
      <w:r>
        <w:rPr>
          <w:rFonts w:eastAsia="Calibri"/>
        </w:rPr>
        <w:t xml:space="preserve">до Приемщика осуществляется Заказчиком самостоятельно транспортом Заказчика. Иные условия Стороны определяют во время согласования Заявки.</w:t>
      </w:r>
      <w:r>
        <w:rPr>
          <w:rFonts w:eastAsia="Calibri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3.5. Датой исполнения своих обязательств по приемке вторичного сырья, а также переход права собственности на сырье считается дата подписания закупочного акта.</w:t>
      </w:r>
      <w:r>
        <w:rPr>
          <w:rFonts w:eastAsia="Calibri"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3.6. Передача отгрузочных документов и накладных может быть осуществлена факсимильной связью или по электронной почте с обязательным последующим предоставлением подлинников до конца календарного месяца.</w:t>
      </w:r>
      <w:r>
        <w:rPr>
          <w:rFonts w:eastAsia="Calibri"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3.7. В случае, если в передаваемых Заказчиком втор</w:t>
      </w:r>
      <w:r>
        <w:rPr>
          <w:rFonts w:eastAsia="Calibri"/>
          <w:color w:val="000000"/>
        </w:rPr>
        <w:t xml:space="preserve">ичных ресурсах присутствуют архивные документы с истекшим сроком хранения, в которых содержится конфиденциальная информация или персональные данные, информация на таких ресурсах подлежит предварительному уничтожению Заказчиком самостоятельно и за его счет.</w:t>
      </w:r>
      <w:r>
        <w:rPr>
          <w:rFonts w:eastAsia="Calibri"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jc w:val="center"/>
        <w:tabs>
          <w:tab w:val="left" w:pos="0" w:leader="none"/>
        </w:tabs>
        <w:rPr>
          <w:rFonts w:eastAsia="Calibri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b/>
          <w:color w:val="000000"/>
        </w:rPr>
        <w:t xml:space="preserve">4 ЦЕНА И ПОРЯДОК РАСЧЕТОВ</w:t>
      </w:r>
      <w:r>
        <w:rPr>
          <w:rFonts w:eastAsia="Calibri"/>
          <w:b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4.1. При передаче вторичного сырья Стороны оформляют закупочный акт (Приложение № 1</w:t>
      </w:r>
      <w:r>
        <w:rPr>
          <w:rFonts w:eastAsia="Calibri"/>
        </w:rPr>
        <w:t xml:space="preserve">), на основании которого Заказчик (юридическое лицо или ИП) оформляет Приемщику соответствующую фактическим результатам передачи товарную накладную формы ТОРГ- 12, и счет-фактуру (либо УПД), </w:t>
      </w:r>
      <w:r>
        <w:rPr>
          <w:rFonts w:eastAsia="Calibri"/>
          <w:color w:val="000000"/>
        </w:rPr>
        <w:t xml:space="preserve">которые передаются Приемщику по электронной почте, указанной в реквизитах настоящего Договора, представителю или службой курьерской доставки. </w:t>
      </w:r>
      <w:r>
        <w:rPr>
          <w:rFonts w:eastAsia="Calibri"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ab/>
        <w:t xml:space="preserve">В случае, если Заказчик является плательщиком НДС ц</w:t>
      </w:r>
      <w:r>
        <w:t xml:space="preserve">ена вторичного сырья (макулатуры) указывается в товарной накладной формы ТОРГ-12 (или УПД) без учета НДС. При этом, на основании п.8 ст. 161 Налогового коде</w:t>
      </w:r>
      <w:r>
        <w:t xml:space="preserve">кса Российской Федерации Приемщик, являясь налоговым агентом по уплате НДС за вторичное сырье (макулатуру), производит оплату за макулатуру Заказчику без НДС, а Сумму НДС Приемщик, как налоговый агент, исчисляет и уплачивает в бюджет Российской Федерации».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</w:r>
    </w:p>
    <w:p>
      <w:pPr>
        <w:ind w:firstLine="567"/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t xml:space="preserve">В случае, если Заказчик согласно с ФЗ от 27.11.2018 N 424-ФЗ не является плательщиком НДС на основании применения Продавцом налогового спецрежима, Заказчик оформляет счет на оплату и ТОРГ-12, в которых цена за макулатуру указывается без учета НДС.</w:t>
      </w:r>
      <w:r>
        <w:rPr>
          <w:rFonts w:eastAsia="Calibri"/>
          <w:color w:val="000000"/>
        </w:rPr>
      </w:r>
    </w:p>
    <w:p>
      <w:pPr>
        <w:ind w:firstLine="567"/>
        <w:jc w:val="both"/>
        <w:tabs>
          <w:tab w:val="left" w:pos="0" w:leader="none"/>
        </w:tabs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t xml:space="preserve">Цена вторичного сырья (полиэтилена и др. пластика) указывается в Счет-фактуре и товарной накладной формы ТОРГ-12 (или УПД) с учетом НДС (в случае, если Заказчик является плательщиком НДС), А Приемщик оплачивает вторичное сырье (полиэтилен) с учетом НДС.</w:t>
      </w:r>
      <w:r>
        <w:rPr>
          <w:rFonts w:eastAsia="Calibri"/>
          <w:color w:val="000000"/>
        </w:rPr>
      </w:r>
    </w:p>
    <w:p>
      <w:pPr>
        <w:jc w:val="both"/>
        <w:tabs>
          <w:tab w:val="left" w:pos="0" w:leader="none"/>
        </w:tabs>
        <w:rPr>
          <w:rFonts w:eastAsia="Calibri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4.2. Оплата производится путем перечис</w:t>
      </w:r>
      <w:r>
        <w:rPr>
          <w:rFonts w:eastAsia="Calibri"/>
          <w:color w:val="000000"/>
          <w:highlight w:val="white"/>
        </w:rPr>
        <w:t xml:space="preserve">ления денежных средств на расчетный</w:t>
      </w:r>
      <w:r>
        <w:rPr>
          <w:rFonts w:eastAsia="Calibri"/>
          <w:color w:val="000000"/>
          <w:highlight w:val="white"/>
        </w:rPr>
        <w:t xml:space="preserve"> счет Заказчика после получения счёта на оплату и отгрузочных документов от Заказчика. Счёт и документы могут быть переданы Приемщику по электронной почте, указанной в реквизитах настоящего Договора, представителю Приемщика или службой курьерской доставки.</w:t>
      </w:r>
      <w:r>
        <w:rPr>
          <w:rFonts w:eastAsia="Calibri"/>
          <w:color w:val="000000"/>
          <w:highlight w:val="white"/>
        </w:rPr>
      </w:r>
    </w:p>
    <w:p>
      <w:pPr>
        <w:pStyle w:val="868"/>
        <w:numPr>
          <w:ilvl w:val="1"/>
          <w:numId w:val="4"/>
        </w:numPr>
        <w:ind w:left="0" w:firstLine="0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При приеме вторичного сырья от физических лиц Приемщик имеет право осуществлять наличные и безналичные (перечисления денежных средств по банковским реквизитам) расчеты 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с Заказчиками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 в соответствии с действующим законодательством.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868"/>
        <w:numPr>
          <w:ilvl w:val="1"/>
          <w:numId w:val="4"/>
        </w:numPr>
        <w:ind w:left="0" w:firstLine="0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Заказчик обязуется оплачивать услуги Приемщика по цене, установленной на день приемки вторичного сырья и указанной в прайсе на сайте Прие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мщика по адресу: </w:t>
      </w:r>
      <w:hyperlink r:id="rId11" w:tooltip="http://www.vtorproekt.com" w:history="1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www.vtorproekt.com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right="185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4.4. Обязанность Приемщика по оплате вторичного сырья считается исполненной с момента зачисления денежных средств на расчетный счет Заказчика. </w:t>
      </w:r>
      <w:r>
        <w:rPr>
          <w:rFonts w:eastAsia="Calibri"/>
          <w:color w:val="000000"/>
        </w:rPr>
      </w:r>
    </w:p>
    <w:p>
      <w:pPr>
        <w:ind w:right="185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ind w:right="185"/>
        <w:jc w:val="center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     </w:t>
      </w:r>
      <w:r>
        <w:rPr>
          <w:rFonts w:eastAsia="Calibri"/>
          <w:b/>
          <w:color w:val="000000"/>
        </w:rPr>
        <w:t xml:space="preserve">5. ПРАВА И ОБЯЗАННОСТИ СТОРОН</w:t>
      </w:r>
      <w:r>
        <w:rPr>
          <w:rFonts w:eastAsia="Calibri"/>
          <w:color w:val="000000"/>
        </w:rPr>
      </w:r>
    </w:p>
    <w:p>
      <w:pPr>
        <w:ind w:right="185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5.1. Заказчик обязан:</w:t>
      </w:r>
      <w:r>
        <w:rPr>
          <w:rFonts w:eastAsia="Calibri"/>
          <w:color w:val="000000"/>
        </w:rPr>
      </w:r>
    </w:p>
    <w:p>
      <w:pPr>
        <w:ind w:right="185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5.1.1. Передать Приемщику вторичное сырье.</w:t>
      </w:r>
      <w:r>
        <w:rPr>
          <w:rFonts w:eastAsia="Calibri"/>
          <w:color w:val="000000"/>
        </w:rPr>
      </w:r>
    </w:p>
    <w:p>
      <w:pPr>
        <w:ind w:right="185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5.1.2. Надлежащим образом оформить и передать Приемщику сопроводительные документы любым из способов, указанных в разделе 4 настоящего Договора. </w:t>
      </w:r>
      <w:r>
        <w:rPr>
          <w:rFonts w:eastAsia="Calibri"/>
          <w:color w:val="000000"/>
        </w:rPr>
      </w:r>
    </w:p>
    <w:p>
      <w:pPr>
        <w:ind w:right="185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5.2. Приемщик обязан:</w:t>
      </w:r>
      <w:r>
        <w:rPr>
          <w:rFonts w:eastAsia="Calibri"/>
          <w:color w:val="000000"/>
        </w:rPr>
      </w:r>
    </w:p>
    <w:p>
      <w:pPr>
        <w:ind w:right="185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5.2.1. Оплатить стоимость принятого вторичного сырья в порядке и сроки, предусмотренные настоящим Договором. </w:t>
      </w:r>
      <w:r>
        <w:rPr>
          <w:rFonts w:eastAsia="Calibri"/>
          <w:color w:val="000000"/>
        </w:rPr>
      </w:r>
    </w:p>
    <w:p>
      <w:pPr>
        <w:ind w:right="185"/>
        <w:jc w:val="both"/>
        <w:rPr>
          <w:rFonts w:eastAsia="Calibri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5.3. Каждая из Сторон в любое время имеет право в одностороннем внесудебном порядке расторгнуть н</w:t>
      </w:r>
      <w:r>
        <w:rPr>
          <w:rFonts w:eastAsia="Calibri"/>
          <w:color w:val="000000"/>
          <w:highlight w:val="white"/>
        </w:rPr>
        <w:t xml:space="preserve">астоящий Договор путем направления другой Стороне уведомления не позднее, чем за 30 (Тридцать) календарных дней.</w:t>
      </w:r>
      <w:r>
        <w:rPr>
          <w:rFonts w:eastAsia="Calibri"/>
          <w:color w:val="000000"/>
          <w:highlight w:val="white"/>
        </w:rPr>
      </w:r>
    </w:p>
    <w:p>
      <w:pPr>
        <w:jc w:val="both"/>
        <w:spacing w:line="240" w:lineRule="atLeast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</w:rPr>
        <w:t xml:space="preserve">5.4. Информация, полученная Сторонами в результате подготовки и/или исполнения Договора, конфиденциальны и не подлежат разглашению.</w:t>
      </w:r>
      <w:r>
        <w:rPr>
          <w:rFonts w:eastAsia="Calibri"/>
          <w:color w:val="000000"/>
          <w:highlight w:val="white"/>
        </w:rPr>
      </w:r>
    </w:p>
    <w:p>
      <w:pPr>
        <w:ind w:right="185"/>
        <w:jc w:val="both"/>
        <w:rPr>
          <w:rFonts w:eastAsia="Calibri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jc w:val="center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b/>
          <w:color w:val="000000"/>
        </w:rPr>
        <w:t xml:space="preserve">6. ПОРЯДОК РАЗРЕШЕНИЯ СПОРОВ</w:t>
      </w:r>
      <w:r>
        <w:rPr>
          <w:rFonts w:eastAsia="Calibri"/>
          <w:color w:val="000000"/>
        </w:rPr>
      </w:r>
    </w:p>
    <w:p>
      <w:pPr>
        <w:ind w:left="-20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6.1. Все споры и разногласия между сторонами, возникающие в период действия настоящего Договора, разрешаются сторонами путем переговоров.</w:t>
      </w:r>
      <w:r>
        <w:rPr>
          <w:rFonts w:eastAsia="Calibri"/>
          <w:color w:val="000000"/>
        </w:rPr>
      </w:r>
    </w:p>
    <w:p>
      <w:pPr>
        <w:ind w:left="-20"/>
        <w:jc w:val="both"/>
        <w:rPr>
          <w:rFonts w:eastAsia="Calibri"/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6.2. В случае невозможности урегулирования споров и разногласий путем переговоров, спор подлежит разрешению в судебном порядке, в Арбитражном суд</w:t>
      </w:r>
      <w:r>
        <w:rPr>
          <w:rFonts w:eastAsia="Calibri"/>
        </w:rPr>
        <w:t xml:space="preserve">е по месту нахождения Приемщика.</w:t>
      </w:r>
      <w:r>
        <w:rPr>
          <w:rFonts w:eastAsia="Calibri"/>
          <w:color w:val="ff0000"/>
        </w:rPr>
      </w:r>
    </w:p>
    <w:p>
      <w:pPr>
        <w:ind w:left="-20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6.3. Во всем остальном, что не предусмотрено настоящим Договором, Стороны руководствуются действующим законодательством РФ.</w:t>
      </w:r>
      <w:r>
        <w:rPr>
          <w:rFonts w:eastAsia="Calibri"/>
          <w:color w:val="000000"/>
        </w:rPr>
      </w:r>
    </w:p>
    <w:p>
      <w:pPr>
        <w:ind w:left="-20"/>
        <w:jc w:val="both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jc w:val="center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b/>
          <w:color w:val="000000"/>
        </w:rPr>
        <w:t xml:space="preserve">7. СРОК ДЕЙСТВИЯ ДОГОВОРА</w:t>
      </w:r>
      <w:r>
        <w:rPr>
          <w:rFonts w:eastAsia="Calibri"/>
          <w:color w:val="000000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  <w:t xml:space="preserve">7.1. </w:t>
      </w:r>
      <w:r>
        <w:t xml:space="preserve">Акцепт Оферты Заказчиком создает Договор (статья 438 Гражданского Кодекса РФ) на условиях Оферты. </w:t>
      </w:r>
      <w:r/>
    </w:p>
    <w:p>
      <w:pPr>
        <w:pStyle w:val="868"/>
        <w:numPr>
          <w:ilvl w:val="1"/>
          <w:numId w:val="6"/>
        </w:numPr>
        <w:ind w:left="0" w:firstLine="0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Договор вступает в силу с момента Акцепта Оферты Заказчиком (путем 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правления Заявки Приемщику по форме Приложения № 1 к настоящему Договору) и действует: а) до момента исполнения Приемщиком обязательств по приемке вторичного сырья по Заявке Заказчика и оплате принятого вторичного сырья, б) до момента расторжения Договора.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ilvl w:val="1"/>
          <w:numId w:val="6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аказчик соглашается и признает, что внесение изменений в Оферту влечет за собой внесение этих изменений в заключенный и действующий между Заказчиком и Приемщиком Договор, и эти изменения в Договор вступают в силу одновременно с такими изменениями в Оферте.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ilvl w:val="1"/>
          <w:numId w:val="6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случае отзыва Оферты Приемщиком в течение срока действия Договора, Договор считается прекращенным с момента отзыва, а незавершенные расчеты производятся Приемщиком в течение 3-х банковских дней после подписания сторонами акта сверки взаимных расчетов.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pStyle w:val="868"/>
        <w:ind w:left="36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Реквизиты Приемщика: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82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ИП </w:t>
      </w:r>
      <w:r>
        <w:rPr>
          <w:b/>
          <w:bCs/>
          <w:color w:val="000000"/>
          <w:sz w:val="22"/>
          <w:szCs w:val="22"/>
        </w:rPr>
        <w:t xml:space="preserve">Шелягин Василий Михайлович</w:t>
      </w:r>
      <w:r>
        <w:t xml:space="preserve"> </w:t>
      </w:r>
      <w:r/>
    </w:p>
    <w:p>
      <w:pPr>
        <w:pStyle w:val="882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ОГРНИП 323470400132534 </w:t>
      </w:r>
      <w:r>
        <w:rPr>
          <w:sz w:val="22"/>
          <w:szCs w:val="22"/>
        </w:rPr>
      </w:r>
    </w:p>
    <w:p>
      <w:pPr>
        <w:pStyle w:val="882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ИНН 662340211649</w:t>
      </w:r>
      <w:r>
        <w:rPr>
          <w:sz w:val="22"/>
          <w:szCs w:val="22"/>
        </w:rPr>
      </w:r>
    </w:p>
    <w:p>
      <w:pPr>
        <w:pStyle w:val="883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Юридический адрес: </w:t>
      </w:r>
      <w:r>
        <w:rPr>
          <w:bCs/>
          <w:color w:val="000000"/>
          <w:sz w:val="22"/>
          <w:szCs w:val="22"/>
        </w:rPr>
        <w:t xml:space="preserve">188660, </w:t>
      </w:r>
      <w:r>
        <w:rPr>
          <w:bCs/>
          <w:color w:val="000000"/>
          <w:sz w:val="22"/>
          <w:szCs w:val="22"/>
        </w:rPr>
        <w:t xml:space="preserve">Россия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Ленинградская обл., Всеволожский р-н</w:t>
      </w:r>
      <w:r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поселок Бугры</w:t>
      </w:r>
      <w:r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Гаражный проезд</w:t>
      </w:r>
      <w:r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д.</w:t>
      </w:r>
      <w:r>
        <w:rPr>
          <w:bCs/>
          <w:color w:val="000000"/>
          <w:sz w:val="22"/>
          <w:szCs w:val="22"/>
        </w:rPr>
        <w:t xml:space="preserve"> 27, </w:t>
      </w:r>
      <w:r>
        <w:rPr>
          <w:bCs/>
          <w:color w:val="000000"/>
          <w:sz w:val="22"/>
          <w:szCs w:val="22"/>
        </w:rPr>
        <w:t xml:space="preserve">корп.</w:t>
      </w:r>
      <w:r>
        <w:rPr>
          <w:bCs/>
          <w:color w:val="000000"/>
          <w:sz w:val="22"/>
          <w:szCs w:val="22"/>
        </w:rPr>
        <w:t xml:space="preserve"> 1, </w:t>
      </w:r>
      <w:r>
        <w:rPr>
          <w:bCs/>
          <w:color w:val="000000"/>
          <w:sz w:val="22"/>
          <w:szCs w:val="22"/>
        </w:rPr>
        <w:t xml:space="preserve">кв. </w:t>
      </w:r>
      <w:r>
        <w:rPr>
          <w:bCs/>
          <w:color w:val="000000"/>
          <w:sz w:val="22"/>
          <w:szCs w:val="22"/>
        </w:rPr>
        <w:t xml:space="preserve">287</w:t>
      </w:r>
      <w:r>
        <w:rPr>
          <w:bCs/>
          <w:color w:val="000000"/>
          <w:sz w:val="22"/>
          <w:szCs w:val="22"/>
        </w:rPr>
      </w:r>
    </w:p>
    <w:p>
      <w:pPr>
        <w:pStyle w:val="883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/>
          <w:color w:val="212529"/>
          <w:sz w:val="22"/>
          <w:szCs w:val="22"/>
          <w:shd w:val="clear" w:color="auto" w:fill="ffffff"/>
        </w:rPr>
        <w:t xml:space="preserve">Адрес для корреспонденции</w:t>
      </w:r>
      <w:r>
        <w:rPr>
          <w:color w:val="212529"/>
          <w:sz w:val="22"/>
          <w:szCs w:val="22"/>
          <w:shd w:val="clear" w:color="auto" w:fill="ffffff"/>
        </w:rPr>
        <w:t xml:space="preserve">: </w:t>
      </w:r>
      <w:r>
        <w:rPr>
          <w:bCs/>
          <w:color w:val="000000"/>
          <w:sz w:val="22"/>
          <w:szCs w:val="22"/>
        </w:rPr>
        <w:t xml:space="preserve">188660, </w:t>
      </w:r>
      <w:r>
        <w:rPr>
          <w:bCs/>
          <w:color w:val="000000"/>
          <w:sz w:val="22"/>
          <w:szCs w:val="22"/>
        </w:rPr>
        <w:t xml:space="preserve">Россия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Ленинградская обл., Всеволожский р-н</w:t>
      </w:r>
      <w:r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поселок Бугры</w:t>
      </w:r>
      <w:r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Гаражный проезд</w:t>
      </w:r>
      <w:r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д.</w:t>
      </w:r>
      <w:r>
        <w:rPr>
          <w:bCs/>
          <w:color w:val="000000"/>
          <w:sz w:val="22"/>
          <w:szCs w:val="22"/>
        </w:rPr>
        <w:t xml:space="preserve"> 27, </w:t>
      </w:r>
      <w:r>
        <w:rPr>
          <w:bCs/>
          <w:color w:val="000000"/>
          <w:sz w:val="22"/>
          <w:szCs w:val="22"/>
        </w:rPr>
        <w:t xml:space="preserve">корп.</w:t>
      </w:r>
      <w:r>
        <w:rPr>
          <w:bCs/>
          <w:color w:val="000000"/>
          <w:sz w:val="22"/>
          <w:szCs w:val="22"/>
        </w:rPr>
        <w:t xml:space="preserve"> 1, </w:t>
      </w:r>
      <w:r>
        <w:rPr>
          <w:bCs/>
          <w:color w:val="000000"/>
          <w:sz w:val="22"/>
          <w:szCs w:val="22"/>
        </w:rPr>
        <w:t xml:space="preserve">кв. </w:t>
      </w:r>
      <w:r>
        <w:rPr>
          <w:bCs/>
          <w:color w:val="000000"/>
          <w:sz w:val="22"/>
          <w:szCs w:val="22"/>
        </w:rPr>
        <w:t xml:space="preserve">287</w:t>
      </w:r>
      <w:r>
        <w:rPr>
          <w:bCs/>
          <w:color w:val="000000"/>
          <w:sz w:val="22"/>
          <w:szCs w:val="22"/>
        </w:rPr>
      </w:r>
    </w:p>
    <w:p>
      <w:pPr>
        <w:pStyle w:val="883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Адрес базы по приемке: </w:t>
      </w:r>
      <w:r>
        <w:rPr>
          <w:color w:val="000000"/>
          <w:sz w:val="22"/>
          <w:szCs w:val="22"/>
        </w:rPr>
        <w:t xml:space="preserve">Санкт Петербург, ул. Рощинская, 2АЗ</w:t>
      </w:r>
      <w:r>
        <w:rPr>
          <w:bCs/>
          <w:color w:val="000000"/>
          <w:sz w:val="22"/>
          <w:szCs w:val="22"/>
        </w:rPr>
      </w:r>
    </w:p>
    <w:p>
      <w:pPr>
        <w:pStyle w:val="883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Банк: </w:t>
      </w:r>
      <w:r>
        <w:rPr>
          <w:bCs/>
          <w:color w:val="000000"/>
          <w:sz w:val="22"/>
          <w:szCs w:val="22"/>
        </w:rPr>
        <w:t xml:space="preserve">АО "ТИНЬКОФФ БАНК"</w:t>
      </w:r>
      <w:r>
        <w:rPr>
          <w:bCs/>
          <w:color w:val="000000"/>
          <w:sz w:val="22"/>
          <w:szCs w:val="22"/>
        </w:rPr>
      </w:r>
    </w:p>
    <w:p>
      <w:p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Расчетный счет</w:t>
      </w:r>
      <w:r>
        <w:t xml:space="preserve">: </w:t>
      </w:r>
      <w:r>
        <w:rPr>
          <w:bCs/>
          <w:color w:val="000000"/>
          <w:sz w:val="22"/>
          <w:szCs w:val="22"/>
        </w:rPr>
        <w:t xml:space="preserve">40802810800005799218</w:t>
      </w:r>
      <w:r>
        <w:rPr>
          <w:bCs/>
          <w:color w:val="000000"/>
          <w:sz w:val="22"/>
          <w:szCs w:val="22"/>
        </w:rPr>
      </w:r>
    </w:p>
    <w:p>
      <w:pP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БИК:</w:t>
      </w:r>
      <w:r>
        <w:rPr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044525974</w:t>
      </w:r>
      <w:r>
        <w:rPr>
          <w:bCs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 xml:space="preserve">К/с</w:t>
      </w:r>
      <w:r>
        <w:rPr>
          <w:color w:val="000000"/>
          <w:sz w:val="22"/>
          <w:szCs w:val="22"/>
        </w:rPr>
        <w:t xml:space="preserve">: </w:t>
      </w:r>
      <w:r>
        <w:rPr>
          <w:bCs/>
          <w:color w:val="000000"/>
          <w:sz w:val="22"/>
          <w:szCs w:val="22"/>
        </w:rPr>
        <w:t xml:space="preserve">30101810145250000974</w:t>
      </w:r>
      <w:r>
        <w:rPr>
          <w:bCs/>
          <w:color w:val="000000"/>
          <w:sz w:val="22"/>
          <w:szCs w:val="22"/>
        </w:rPr>
      </w:r>
    </w:p>
    <w:p>
      <w:pPr>
        <w:pStyle w:val="883"/>
        <w:ind w:left="-22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highlight w:val="white"/>
        </w:rPr>
        <w:t xml:space="preserve">E-mail:</w:t>
      </w:r>
      <w:r>
        <w:rPr>
          <w:color w:val="000000"/>
          <w:sz w:val="22"/>
          <w:szCs w:val="22"/>
          <w:highlight w:val="white"/>
        </w:rPr>
        <w:t xml:space="preserve"> </w:t>
      </w:r>
      <w:r>
        <w:t xml:space="preserve">Shelyagin325@gmail.com</w:t>
      </w:r>
      <w:r>
        <w:rPr>
          <w:color w:val="000000"/>
          <w:sz w:val="22"/>
          <w:szCs w:val="22"/>
        </w:rPr>
      </w:r>
      <w:r>
        <w:rPr>
          <w:sz w:val="22"/>
          <w:szCs w:val="22"/>
        </w:rPr>
      </w:r>
    </w:p>
    <w:p>
      <w:pPr>
        <w:pStyle w:val="883"/>
        <w:ind w:left="-22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Тел. для связи:</w:t>
      </w:r>
      <w:r>
        <w:rPr>
          <w:color w:val="000000"/>
          <w:sz w:val="22"/>
          <w:szCs w:val="22"/>
        </w:rPr>
        <w:t xml:space="preserve"> </w:t>
      </w:r>
      <w:r>
        <w:rPr>
          <w:color w:val="000000"/>
          <w:sz w:val="22"/>
          <w:szCs w:val="22"/>
        </w:rPr>
        <w:t xml:space="preserve">+</w:t>
      </w:r>
      <w:r>
        <w:t xml:space="preserve">7 812 467-45-18</w:t>
      </w:r>
      <w:r>
        <w:rPr>
          <w:sz w:val="22"/>
          <w:szCs w:val="22"/>
        </w:rPr>
      </w:r>
    </w:p>
    <w:p>
      <w:pPr>
        <w:shd w:val="clear" w:color="auto" w:fill="ffffff"/>
      </w:pPr>
      <w:r/>
      <w:r/>
    </w:p>
    <w:p>
      <w:pPr>
        <w:pStyle w:val="868"/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160" w:line="259" w:lineRule="auto"/>
        <w:rPr>
          <w:rFonts w:eastAsia="Calibri"/>
          <w:lang w:eastAsia="en-US"/>
        </w:rPr>
      </w:pPr>
      <w:r>
        <w:br w:type="page" w:clear="all"/>
      </w:r>
      <w:r>
        <w:rPr>
          <w:rFonts w:eastAsia="Calibri"/>
          <w:lang w:eastAsia="en-US"/>
        </w:rPr>
      </w:r>
    </w:p>
    <w:p>
      <w:pPr>
        <w:pStyle w:val="868"/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</w:t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по приему вторичного сырья</w:t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36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36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ind w:lef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lef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lef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lef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Закупочный акт от « ____</w:t>
      </w:r>
      <w:r>
        <w:rPr>
          <w:rFonts w:ascii="Times New Roman" w:hAnsi="Times New Roman" w:cs="Times New Roman"/>
          <w:sz w:val="24"/>
          <w:szCs w:val="24"/>
        </w:rPr>
        <w:tab/>
        <w:t xml:space="preserve">» 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4"/>
      </w:tblGrid>
      <w:tr>
        <w:trPr/>
        <w:tc>
          <w:tcPr>
            <w:tcW w:w="5173" w:type="dxa"/>
            <w:textDirection w:val="lrTb"/>
            <w:noWrap w:val="false"/>
          </w:tcPr>
          <w:p>
            <w:pPr>
              <w:pStyle w:val="872"/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174" w:type="dxa"/>
            <w:textDirection w:val="lrTb"/>
            <w:noWrap w:val="false"/>
          </w:tcPr>
          <w:p>
            <w:pPr>
              <w:pStyle w:val="872"/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173" w:type="dxa"/>
            <w:textDirection w:val="lrTb"/>
            <w:noWrap w:val="false"/>
          </w:tcPr>
          <w:p>
            <w:pPr>
              <w:pStyle w:val="872"/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174" w:type="dxa"/>
            <w:textDirection w:val="lrTb"/>
            <w:noWrap w:val="false"/>
          </w:tcPr>
          <w:p>
            <w:pPr>
              <w:pStyle w:val="872"/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jc w:val="both"/>
        <w:shd w:val="clear" w:color="auto" w:fill="ffffff"/>
        <w:rPr>
          <w:bCs/>
        </w:rPr>
      </w:pPr>
      <w:r>
        <w:rPr>
          <w:bCs/>
        </w:rPr>
        <w:t xml:space="preserve">Индивидуальный предприниматель </w:t>
      </w:r>
      <w:r>
        <w:rPr>
          <w:bCs/>
        </w:rPr>
        <w:t xml:space="preserve">Шелягин Васили</w:t>
      </w:r>
      <w:r>
        <w:rPr>
          <w:bCs/>
        </w:rPr>
        <w:t xml:space="preserve">й</w:t>
      </w:r>
      <w:r>
        <w:rPr>
          <w:bCs/>
        </w:rPr>
        <w:t xml:space="preserve"> Михайлови</w:t>
      </w:r>
      <w:r>
        <w:rPr>
          <w:bCs/>
        </w:rPr>
        <w:t xml:space="preserve">ч</w:t>
      </w:r>
      <w:r>
        <w:rPr>
          <w:bCs/>
        </w:rPr>
        <w:t xml:space="preserve">, ОГРНИП 323470400132534,</w:t>
      </w:r>
      <w:r>
        <w:t xml:space="preserve"> ИНН 662340211649</w:t>
      </w:r>
      <w:r>
        <w:t xml:space="preserve">, </w:t>
      </w:r>
      <w:r>
        <w:rPr>
          <w:bCs/>
        </w:rPr>
        <w:t xml:space="preserve">именуем</w:t>
      </w:r>
      <w:r>
        <w:rPr>
          <w:bCs/>
        </w:rPr>
        <w:t xml:space="preserve">ый</w:t>
      </w:r>
      <w:r>
        <w:rPr>
          <w:bCs/>
        </w:rPr>
        <w:t xml:space="preserve"> в дальнейшем «Приемщик», с одной стороны</w:t>
      </w:r>
      <w:r>
        <w:t xml:space="preserve"> и _______________________________________________________________, именуемый/ая в дальнейшем «Заказчик», </w:t>
      </w:r>
      <w:r>
        <w:rPr>
          <w:bCs/>
        </w:rPr>
        <w:t xml:space="preserve">составили настоящий Акт о нижеследующем:</w:t>
      </w:r>
      <w:r>
        <w:rPr>
          <w:bCs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Заказчик передает, а Приемщик принимает вторсырье - отходы бумаги и картона от канцелярской деятельности и делопроизводства, полиэтилен и др. пластик - следующего ассортимента и количества:</w:t>
      </w:r>
      <w:r>
        <w:rPr>
          <w:rFonts w:ascii="Times New Roman" w:hAnsi="Times New Roman" w:cs="Times New Roman"/>
          <w:bCs/>
          <w:sz w:val="24"/>
          <w:szCs w:val="24"/>
        </w:rPr>
      </w:r>
    </w:p>
    <w:tbl>
      <w:tblPr>
        <w:tblStyle w:val="880"/>
        <w:tblW w:w="0" w:type="auto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621"/>
        <w:gridCol w:w="1239"/>
        <w:gridCol w:w="1136"/>
        <w:gridCol w:w="991"/>
        <w:gridCol w:w="696"/>
        <w:gridCol w:w="932"/>
      </w:tblGrid>
      <w:tr>
        <w:trPr>
          <w:trHeight w:val="537"/>
        </w:trPr>
        <w:tc>
          <w:tcPr>
            <w:tcW w:w="970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Марка,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номер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Наименования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сырья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Полная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Пустая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Вес, кг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Сумма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90"/>
        </w:trPr>
        <w:tc>
          <w:tcPr>
            <w:tcW w:w="970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90"/>
        </w:trPr>
        <w:tc>
          <w:tcPr>
            <w:tcW w:w="970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91"/>
        </w:trPr>
        <w:tc>
          <w:tcPr>
            <w:tcW w:w="970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90"/>
        </w:trPr>
        <w:tc>
          <w:tcPr>
            <w:tcW w:w="970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88"/>
        </w:trPr>
        <w:tc>
          <w:tcPr>
            <w:tcW w:w="970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90"/>
        </w:trPr>
        <w:tc>
          <w:tcPr>
            <w:tcW w:w="970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465"/>
        </w:trPr>
        <w:tc>
          <w:tcPr>
            <w:gridSpan w:val="5"/>
            <w:tcBorders>
              <w:left w:val="none" w:color="000000" w:sz="4" w:space="0"/>
              <w:bottom w:val="none" w:color="000000" w:sz="4" w:space="0"/>
            </w:tcBorders>
            <w:tcW w:w="5957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1628" w:type="dxa"/>
            <w:textDirection w:val="lrTb"/>
            <w:noWrap w:val="false"/>
          </w:tcPr>
          <w:p>
            <w:pPr>
              <w:pStyle w:val="872"/>
              <w:ind w:left="6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</w:tbl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получил денежные средства в размере 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руб. ______коп.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персональных данных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________________/_____________________________________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Приемщик</w:t>
      </w:r>
      <w:r>
        <w:rPr>
          <w:rFonts w:ascii="Times New Roman" w:hAnsi="Times New Roman" w:cs="Times New Roman"/>
          <w:bCs/>
          <w:sz w:val="24"/>
          <w:szCs w:val="24"/>
        </w:rPr>
        <w:t xml:space="preserve">: __________________/</w:t>
      </w:r>
      <w:r>
        <w:rPr>
          <w:rFonts w:ascii="Times New Roman" w:hAnsi="Times New Roman" w:cs="Times New Roman"/>
          <w:bCs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 xml:space="preserve">Шелягин Василий Михайлович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72"/>
        <w:ind w:left="6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68"/>
        <w:ind w:left="36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36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36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624" w:right="567" w:bottom="964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symbols">
    <w:panose1 w:val="020B06040305040402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518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2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40" w:hanging="540"/>
      </w:pPr>
      <w:rPr>
        <w:vertAlign w:val="baseline"/>
      </w:rPr>
    </w:lvl>
    <w:lvl w:ilvl="1">
      <w:start w:val="6"/>
      <w:numFmt w:val="decimal"/>
      <w:isLgl w:val="false"/>
      <w:suff w:val="tab"/>
      <w:lvlText w:val="%1.%2."/>
      <w:lvlJc w:val="left"/>
      <w:pPr>
        <w:ind w:left="824" w:hanging="540"/>
      </w:pPr>
      <w:rPr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81"/>
    <w:uiPriority w:val="10"/>
    <w:rPr>
      <w:sz w:val="48"/>
      <w:szCs w:val="48"/>
    </w:rPr>
  </w:style>
  <w:style w:type="character" w:styleId="703" w:customStyle="1">
    <w:name w:val="Subtitle Char"/>
    <w:basedOn w:val="681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81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paragraph" w:styleId="710">
    <w:name w:val="No Spacing"/>
    <w:uiPriority w:val="1"/>
    <w:qFormat/>
    <w:pPr>
      <w:spacing w:after="0" w:line="240" w:lineRule="auto"/>
    </w:pPr>
  </w:style>
  <w:style w:type="paragraph" w:styleId="711">
    <w:name w:val="Title"/>
    <w:basedOn w:val="671"/>
    <w:next w:val="671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81"/>
    <w:link w:val="711"/>
    <w:uiPriority w:val="10"/>
    <w:rPr>
      <w:sz w:val="48"/>
      <w:szCs w:val="48"/>
    </w:rPr>
  </w:style>
  <w:style w:type="paragraph" w:styleId="713">
    <w:name w:val="Subtitle"/>
    <w:basedOn w:val="671"/>
    <w:next w:val="671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81"/>
    <w:link w:val="713"/>
    <w:uiPriority w:val="11"/>
    <w:rPr>
      <w:sz w:val="24"/>
      <w:szCs w:val="24"/>
    </w:rPr>
  </w:style>
  <w:style w:type="paragraph" w:styleId="715">
    <w:name w:val="Quote"/>
    <w:basedOn w:val="671"/>
    <w:next w:val="671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1"/>
    <w:next w:val="671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1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basedOn w:val="681"/>
    <w:link w:val="719"/>
    <w:uiPriority w:val="99"/>
  </w:style>
  <w:style w:type="paragraph" w:styleId="721">
    <w:name w:val="Footer"/>
    <w:basedOn w:val="671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Нижний колонтитул Знак"/>
    <w:link w:val="721"/>
    <w:uiPriority w:val="99"/>
  </w:style>
  <w:style w:type="character" w:styleId="723" w:customStyle="1">
    <w:name w:val="Footer Char"/>
    <w:basedOn w:val="681"/>
    <w:uiPriority w:val="99"/>
  </w:style>
  <w:style w:type="table" w:styleId="724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9">
    <w:name w:val="footnote text"/>
    <w:basedOn w:val="671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81"/>
    <w:uiPriority w:val="99"/>
    <w:unhideWhenUsed/>
    <w:rPr>
      <w:vertAlign w:val="superscript"/>
    </w:rPr>
  </w:style>
  <w:style w:type="paragraph" w:styleId="852">
    <w:name w:val="endnote text"/>
    <w:basedOn w:val="671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81"/>
    <w:uiPriority w:val="99"/>
    <w:semiHidden/>
    <w:unhideWhenUsed/>
    <w:rPr>
      <w:vertAlign w:val="superscript"/>
    </w:rPr>
  </w:style>
  <w:style w:type="paragraph" w:styleId="855">
    <w:name w:val="toc 1"/>
    <w:basedOn w:val="671"/>
    <w:next w:val="671"/>
    <w:uiPriority w:val="39"/>
    <w:unhideWhenUsed/>
    <w:pPr>
      <w:spacing w:after="57"/>
    </w:pPr>
  </w:style>
  <w:style w:type="paragraph" w:styleId="856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57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58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59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60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1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2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3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1"/>
    <w:next w:val="671"/>
    <w:uiPriority w:val="99"/>
    <w:unhideWhenUsed/>
  </w:style>
  <w:style w:type="paragraph" w:styleId="866">
    <w:name w:val="Body Text"/>
    <w:basedOn w:val="671"/>
    <w:link w:val="867"/>
    <w:unhideWhenUsed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67" w:customStyle="1">
    <w:name w:val="Основной текст Знак"/>
    <w:basedOn w:val="681"/>
    <w:link w:val="866"/>
    <w:rPr>
      <w:rFonts w:ascii="Calibri" w:hAnsi="Calibri" w:eastAsia="Calibri" w:cs="Times New Roman"/>
    </w:rPr>
  </w:style>
  <w:style w:type="paragraph" w:styleId="868">
    <w:name w:val="List Paragraph"/>
    <w:basedOn w:val="6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69">
    <w:name w:val="Hyperlink"/>
    <w:basedOn w:val="681"/>
    <w:uiPriority w:val="99"/>
    <w:unhideWhenUsed/>
    <w:rPr>
      <w:color w:val="0563c1" w:themeColor="hyperlink"/>
      <w:u w:val="single"/>
    </w:rPr>
  </w:style>
  <w:style w:type="table" w:styleId="870">
    <w:name w:val="Table Grid"/>
    <w:basedOn w:val="68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Caption"/>
    <w:basedOn w:val="671"/>
    <w:unhideWhenUsed/>
    <w:qFormat/>
    <w:pPr>
      <w:jc w:val="center"/>
    </w:pPr>
    <w:rPr>
      <w:b/>
      <w:sz w:val="28"/>
      <w:szCs w:val="20"/>
    </w:rPr>
  </w:style>
  <w:style w:type="paragraph" w:styleId="872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873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74">
    <w:name w:val="annotation text"/>
    <w:basedOn w:val="671"/>
    <w:link w:val="875"/>
    <w:uiPriority w:val="99"/>
    <w:semiHidden/>
    <w:unhideWhenUsed/>
    <w:rPr>
      <w:sz w:val="20"/>
      <w:szCs w:val="20"/>
    </w:rPr>
  </w:style>
  <w:style w:type="character" w:styleId="875" w:customStyle="1">
    <w:name w:val="Текст примечания Знак"/>
    <w:basedOn w:val="681"/>
    <w:link w:val="87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6">
    <w:name w:val="annotation subject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Тема примечания Знак"/>
    <w:basedOn w:val="875"/>
    <w:link w:val="87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8">
    <w:name w:val="Balloon Text"/>
    <w:basedOn w:val="671"/>
    <w:link w:val="87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basedOn w:val="681"/>
    <w:link w:val="87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880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1" w:customStyle="1">
    <w:name w:val="Table Paragraph"/>
    <w:basedOn w:val="671"/>
    <w:uiPriority w:val="1"/>
    <w:qFormat/>
    <w:pPr>
      <w:widowControl w:val="off"/>
    </w:pPr>
    <w:rPr>
      <w:rFonts w:ascii="Calibri" w:hAnsi="Calibri" w:eastAsia="Calibri" w:cs="Calibri"/>
      <w:sz w:val="22"/>
      <w:szCs w:val="22"/>
      <w:lang w:bidi="ru-RU"/>
    </w:rPr>
  </w:style>
  <w:style w:type="paragraph" w:styleId="882" w:customStyle="1">
    <w:name w:val="docy"/>
    <w:basedOn w:val="671"/>
    <w:pPr>
      <w:spacing w:before="100" w:beforeAutospacing="1" w:after="100" w:afterAutospacing="1"/>
    </w:pPr>
  </w:style>
  <w:style w:type="paragraph" w:styleId="883">
    <w:name w:val="Normal (Web)"/>
    <w:basedOn w:val="671"/>
    <w:uiPriority w:val="99"/>
    <w:semiHidden/>
    <w:unhideWhenUsed/>
    <w:pPr>
      <w:spacing w:before="100" w:beforeAutospacing="1" w:after="100" w:afterAutospacing="1"/>
    </w:pPr>
  </w:style>
  <w:style w:type="character" w:styleId="884" w:customStyle="1">
    <w:name w:val="bx-font"/>
    <w:basedOn w:val="68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78.vtorproekt.com/" TargetMode="External"/><Relationship Id="rId10" Type="http://schemas.openxmlformats.org/officeDocument/2006/relationships/hyperlink" Target="https://78.vtorproekt.com/" TargetMode="External"/><Relationship Id="rId11" Type="http://schemas.openxmlformats.org/officeDocument/2006/relationships/hyperlink" Target="http://www.vtorproekt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 Сергеевна Костылева</dc:creator>
  <cp:keywords/>
  <dc:description/>
  <cp:lastModifiedBy>Евгения Окулова</cp:lastModifiedBy>
  <cp:revision>4</cp:revision>
  <dcterms:created xsi:type="dcterms:W3CDTF">2024-05-15T08:49:00Z</dcterms:created>
  <dcterms:modified xsi:type="dcterms:W3CDTF">2024-05-27T07:36:39Z</dcterms:modified>
</cp:coreProperties>
</file>